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20 февраля 2006 г. N 95</w:t>
      </w: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и условиях признания лица инвалидом"</w:t>
      </w:r>
    </w:p>
    <w:p w:rsidR="005F1A1F" w:rsidRPr="005F1A1F" w:rsidRDefault="005F1A1F" w:rsidP="005F1A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F1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5F1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10164504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/document/12145177/entry/1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инвалидом.</w:t>
      </w:r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7" w:anchor="/document/71470922/entry/100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8" w:anchor="/document/57410957/entry/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70224098/entry/1063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4 сентября 2012 г. N 882 в пункт 3 внесены изменения</w:t>
      </w:r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58045581/entry/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труда и социальной защиты Российской Федерации давать </w:t>
      </w:r>
      <w:hyperlink r:id="rId11" w:anchor="/document/71969424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применением </w:t>
      </w:r>
      <w:hyperlink r:id="rId12" w:anchor="/document/12145177/entry/1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5F1A1F" w:rsidRPr="005F1A1F" w:rsidRDefault="005F1A1F" w:rsidP="005F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</w:t>
      </w:r>
      <w:hyperlink r:id="rId13" w:anchor="/document/10135788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3495"/>
      </w:tblGrid>
      <w:tr w:rsidR="005F1A1F" w:rsidRPr="005F1A1F" w:rsidTr="005F1A1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F1A1F" w:rsidRPr="005F1A1F" w:rsidRDefault="005F1A1F" w:rsidP="005F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F1A1F" w:rsidRPr="005F1A1F" w:rsidRDefault="005F1A1F" w:rsidP="005F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Фрадков</w:t>
            </w:r>
          </w:p>
        </w:tc>
      </w:tr>
    </w:tbl>
    <w:p w:rsidR="005F1A1F" w:rsidRPr="005F1A1F" w:rsidRDefault="005F1A1F" w:rsidP="005F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5F1A1F" w:rsidRPr="005F1A1F" w:rsidRDefault="005F1A1F" w:rsidP="005F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2006 г.</w:t>
      </w:r>
    </w:p>
    <w:p w:rsidR="005F1A1F" w:rsidRPr="005F1A1F" w:rsidRDefault="005F1A1F" w:rsidP="005F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N 95</w:t>
      </w:r>
    </w:p>
    <w:p w:rsidR="005F1A1F" w:rsidRPr="005F1A1F" w:rsidRDefault="005F1A1F" w:rsidP="005F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признания лица инвалидом</w:t>
      </w: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4" w:anchor="/document/12145177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 февраля 2006 г. N 95)</w:t>
      </w:r>
    </w:p>
    <w:p w:rsidR="005F1A1F" w:rsidRDefault="005F1A1F" w:rsidP="005F1A1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A1F" w:rsidRPr="005F1A1F" w:rsidRDefault="005F1A1F" w:rsidP="005F1A1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1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в соответствии с </w:t>
      </w:r>
      <w:hyperlink r:id="rId15" w:anchor="/document/10164504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 Федеральным бюро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70224098/entry/10633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4 сентября 2012 г. N 882 в пункт 2 внесены изменения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58045581/entry/100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Признание гражданина инвалидом осуществляется при проведении </w:t>
      </w:r>
      <w:hyperlink r:id="rId18" w:anchor="/document/10164504/entry/20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медико-социальной</w:t>
        </w:r>
        <w:proofErr w:type="gramEnd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экспертизы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/document/12172039/entry/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 декабря 2009 г. N 1121 в пункт 3 внесены изменения, </w:t>
      </w:r>
      <w:hyperlink r:id="rId20" w:anchor="/document/12172039/entry/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2010 г.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/document/5638591/entry/100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/document/58200073/entry/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4 марта 2011 г. N ГКПИ10-1625, оставленным без изменения </w:t>
      </w:r>
      <w:hyperlink r:id="rId23" w:anchor="/document/58201499/entry/11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Кассационной коллегии Верховного Суда РФ от 5 мая 2011 г. N КАС11-191, пункт 3 настоящих Правил признан не противоречащим действующему законодательству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71470922/entry/102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августа 2016 г. N 772 в пункт 4 внесены изменения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57410957/entry/100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</w:t>
      </w: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инвалидом, а также давать разъяснения гражданам по вопросам, связанным с установлением инвалидности.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признания гражданина инвалидом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58200073/entry/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4 марта 2011 г. N ГКПИ10-1625, оставленным без изменения </w:t>
      </w:r>
      <w:hyperlink r:id="rId27" w:anchor="/document/58201499/entry/11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/document/71159590/entry/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августа 2015 г. N 805 в подпункт "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внесены изменения, </w:t>
      </w:r>
      <w:hyperlink r:id="rId29" w:anchor="/document/71159590/entry/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 г.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/document/57508566/entry/1005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58200073/entry/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4 марта 2011 г. N ГКПИ10-1625, оставленным без изменения </w:t>
      </w:r>
      <w:hyperlink r:id="rId32" w:anchor="/document/58201499/entry/11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Кассационной коллегии Верховного Суда РФ от 5 мая 2011 г. N КАС11-191, пункт 6 настоящих Правил признан не противоречащим действующему законодательству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одного из указанных в </w:t>
      </w:r>
      <w:hyperlink r:id="rId33" w:anchor="/document/12145177/entry/1005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/document/71159590/entry/5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августа 2015 г. N 805 в пункт 7 внесены изменения, </w:t>
      </w:r>
      <w:hyperlink r:id="rId35" w:anchor="/document/71159590/entry/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 г.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/document/57508566/entry/1007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37" w:anchor="/document/12172039/entry/1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2010 г.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38" w:anchor="/document/5638591/entry/1008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8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изменен с 14 апреля 2018 г. - </w:t>
      </w:r>
      <w:hyperlink r:id="rId39" w:anchor="/document/71917518/entry/10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 марта 2018 г. N 339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/document/77664305/entry/1009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/document/71057418/entry/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апреля 2015 г. N АКПИ15-269, оставленным без изменения </w:t>
      </w:r>
      <w:hyperlink r:id="rId42" w:anchor="/document/71221350/entry/11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коллегии Верховного Суда РФ от 10 сентября 2015 г. N АПЛ15-348, пункт 9 настоящих Правил признан не противоречащим действующему законодательству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 I группы устанавливается на 2 года, II и III групп - на 1 год.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</w:t>
      </w:r>
      <w:hyperlink r:id="rId43" w:anchor="/document/12172039/entry/1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2010 г.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44" w:anchor="/document/5638591/entry/1009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второго пункта 9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r:id="rId45" w:anchor="/document/12145177/entry/10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основаниям, указанным в </w:t>
      </w:r>
      <w:hyperlink r:id="rId46" w:anchor="/document/12145177/entry/101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10 изменен с 14 апреля 2018 г. - </w:t>
      </w:r>
      <w:hyperlink r:id="rId47" w:anchor="/document/71917518/entry/10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 марта 2018 г. N 339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/document/77664305/entry/101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"ребенок-инвалид" сроком на 5 лет, до достижения возраста 14 лет либо 18 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49" w:anchor="/document/12145177/entry/101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разделами I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/document/12145177/entry/102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11 изменен с 21 мая 2019 г. - </w:t>
      </w:r>
      <w:hyperlink r:id="rId51" w:anchor="/document/72246086/entry/100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/document/77680637/entry/10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(заявления гражданина о проведении медико-социальной экспертизы).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 (переосвидетельствования).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изменен с 14 апреля 2018 г. - </w:t>
      </w:r>
      <w:hyperlink r:id="rId53" w:anchor="/document/71917518/entry/10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 марта 2018 г. N 339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/document/77664305/entry/101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r:id="rId55" w:anchor="/document/12145177/entry/101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r:id="rId56" w:anchor="/document/12145177/entry/10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Правилам);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14 апреля 2018 г. - </w:t>
      </w:r>
      <w:hyperlink r:id="rId57" w:anchor="/document/71917518/entry/103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 марта 2018 г. N 339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/document/77664305/entry/1013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r:id="rId59" w:anchor="/document/12145177/entry/1017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60" w:anchor="/document/12145177/entry/103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в бюро самостоятельно в соответствии с </w:t>
      </w:r>
      <w:hyperlink r:id="rId61" w:anchor="/document/12145177/entry/1019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13.1 изменен с 6 февраля 2018 г. - </w:t>
      </w:r>
      <w:hyperlink r:id="rId62" w:anchor="/document/71866762/entry/10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 января 2018 г. N 60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/document/57430634/entry/1013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r:id="rId64" w:anchor="/document/12145177/entry/1013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5" w:anchor="/document/12145177/entry/1013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третьим пункта 13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со дня установления им категории "ребенок-инвалид".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14 изменен с 2 апреля 2019 г. - </w:t>
      </w:r>
      <w:hyperlink r:id="rId66" w:anchor="/document/72203694/entry/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22 марта 2019 г. N 304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/document/77671117/entry/101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/document/1795754/entry/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 апреля 2010 г. N ГКПИ10-195, оставленным без изменения </w:t>
      </w:r>
      <w:hyperlink r:id="rId69" w:anchor="/document/1795539/entry/11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Кассационной коллегии Верховного Суда РФ от 3 июня 2010 г. N КАС10-271, пункт 14 настоящих Правил признан не противоречащим действующему законодательству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заболевание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ведения в этих государствах боевых действий;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иные причины, установленные законодательством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0" w:anchor="/document/10135991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причин инвалидности, утвержденные приказом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Минсоцобеспечения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25 декабря 1986 г. N 161, </w:t>
      </w:r>
      <w:hyperlink r:id="rId71" w:anchor="/document/10105033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медицинского освидетельствования во ВТЭК граждан из подразделений особого риска для установления инвалидности, утвержденные приказом Минсоцзащиты РФ от 7 мая 1993 г. N 88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 </w:t>
      </w:r>
      <w:hyperlink r:id="rId72" w:anchor="/document/135881/entry/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Госкомтруда СССР и Минздрава СССР от 18 марта 1985 г. N 17-ЮБ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Порядок направления гражданина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15 изменен с 21 мая 2019 г. - </w:t>
      </w:r>
      <w:hyperlink r:id="rId73" w:anchor="/document/72246086/entry/100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/document/77680637/entry/1015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Гражданин направляется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согласия гражданина на направление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16 изменен с 21 мая 2019 г. - </w:t>
      </w:r>
      <w:hyperlink r:id="rId75" w:anchor="/document/72246086/entry/100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/document/77680637/entry/1016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/document/72113818/entry/1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медицинской организацией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/document/72198510/entry/1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/document/70224098/entry/10633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4 сентября 2012 г. N 882 в пункт 17 внесены изменения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/document/58045581/entry/1017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/document/58200073/entry/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4 марта 2011 г. N ГКПИ10-1625, оставленным без изменения </w:t>
      </w:r>
      <w:hyperlink r:id="rId82" w:anchor="/document/58201499/entry/1111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Кассационной коллегии Верховного Суда РФ от 5 мая 2011 г. N КАС11-191, пункт 17 настоящих Правил признан не противоречащим действующему законодательству</w:t>
      </w:r>
      <w:proofErr w:type="gramEnd"/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/document/12151638/entry/10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направления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/document/71159590/entry/9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августа 2015 г. N 805 в пункт 18 внесены изменения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/document/57508565/entry/1018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в порядке, установленном законодательством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/document/71470922/entry/102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августа 2016 г. N 772 в пункт 19 внесены изменения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/document/57410957/entry/1019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после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19.1 изменен с 21 мая 2019 г. - </w:t>
      </w:r>
      <w:hyperlink r:id="rId88" w:anchor="/document/72246086/entry/100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/document/77680637/entry/10191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 Медицинские организации формируют направление на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 дополнен пунктом 19.2 с 21 мая 2019 г. - </w:t>
      </w:r>
      <w:hyperlink r:id="rId90" w:anchor="/document/72246086/entry/1005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</w:t>
      </w:r>
      <w:hyperlink r:id="rId91" w:anchor="/document/12184522/entry/5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подписью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информационных систем, предусмотренных </w:t>
      </w:r>
      <w:hyperlink r:id="rId92" w:anchor="/document/12145177/entry/1019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19.3</w:t>
        </w:r>
        <w:proofErr w:type="gramEnd"/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при отсутствии доступа к таким информационным системам - на бумажном носителе.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</w:t>
      </w:r>
      <w:hyperlink r:id="rId93" w:anchor="/document/12184522/entry/5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подписью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</w:t>
      </w:r>
      <w:hyperlink r:id="rId94" w:anchor="/document/12148567/entry/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персональных данных и соблюдением врачебной тайны.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 дополнен пунктом 19.3 с 21 мая 2019 г. - </w:t>
      </w:r>
      <w:hyperlink r:id="rId95" w:anchor="/document/72246086/entry/1005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медико-социальную экспертизу в форме электронного документа, сформированное в соответствии с </w:t>
      </w:r>
      <w:hyperlink r:id="rId96" w:anchor="/document/12145177/entry/10191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19.1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 информационного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проведения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 дополнен пунктом 19.4 с 21 мая 2019 г. - </w:t>
      </w:r>
      <w:hyperlink r:id="rId97" w:anchor="/document/72246086/entry/1005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19.4. В случае если проведение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необходимо в целях, предусмотренных </w:t>
      </w:r>
      <w:hyperlink r:id="rId98" w:anchor="/document/12145177/entry/102419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"и"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9" w:anchor="/document/12145177/entry/12411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"м"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anchor="/document/12145177/entry/12411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"н"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1" w:anchor="/document/12145177/entry/124114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"о" пункта 24.1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в случаях, предусмотренных </w:t>
      </w:r>
      <w:hyperlink r:id="rId102" w:anchor="/document/12145177/entry/103402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3" w:anchor="/document/12145177/entry/10340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четвертым пункта 34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направление на медико-социальную экспертизу не требуется.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гражданин (его законный или уполномоченный представитель) подает в бюро заявление о проведении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Порядок проведения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hyperlink r:id="rId104" w:anchor="/document/10164504/entry/200" w:history="1">
        <w:proofErr w:type="gramStart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Медико-социальная</w:t>
        </w:r>
        <w:proofErr w:type="gramEnd"/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экспертиза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главном бюро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Федеральном бюро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23 изменен с 21 мая 2019 г. - </w:t>
      </w:r>
      <w:hyperlink r:id="rId105" w:anchor="/document/72246086/entry/1006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16 мая 2019 г. N 607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/document/77680637/entry/1023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</w:t>
      </w:r>
      <w:proofErr w:type="gramEnd"/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бюро.</w:t>
      </w:r>
    </w:p>
    <w:p w:rsidR="005F1A1F" w:rsidRPr="005F1A1F" w:rsidRDefault="005F1A1F" w:rsidP="005F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07" w:anchor="/document/12145177/entry/10400" w:history="1">
        <w:r w:rsidRPr="005F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IV</w:t>
        </w:r>
      </w:hyperlink>
      <w:r w:rsidRPr="005F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тяжелое общее состояния гражданина, препятствующее его транспортировке.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Пункт 24 изменен с 21 мая 2019 г. - </w:t>
      </w:r>
      <w:hyperlink r:id="rId108" w:anchor="/document/72246086/entry/1007" w:history="1">
        <w:r>
          <w:rPr>
            <w:rStyle w:val="a3"/>
          </w:rPr>
          <w:t>Постановление</w:t>
        </w:r>
      </w:hyperlink>
      <w:r>
        <w:t xml:space="preserve"> Правительства России от 16 мая 2019 г. N 607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09" w:anchor="/document/77680637/entry/1024" w:history="1">
        <w:r>
          <w:rPr>
            <w:rStyle w:val="a3"/>
          </w:rPr>
          <w:t>См. предыдущую редакцию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r:id="rId110" w:anchor="/document/12145177/entry/1019" w:history="1">
        <w:r>
          <w:rPr>
            <w:rStyle w:val="a3"/>
          </w:rPr>
          <w:t>пунктами 19</w:t>
        </w:r>
      </w:hyperlink>
      <w:r>
        <w:t xml:space="preserve"> и </w:t>
      </w:r>
      <w:hyperlink r:id="rId111" w:anchor="/document/12145177/entry/10194" w:history="1">
        <w:r>
          <w:rPr>
            <w:rStyle w:val="a3"/>
          </w:rPr>
          <w:t>19.4</w:t>
        </w:r>
      </w:hyperlink>
      <w:r>
        <w:t xml:space="preserve"> настоящих Правил.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В бюро организуется регистрация поступивших направлений на </w:t>
      </w:r>
      <w:proofErr w:type="gramStart"/>
      <w:r>
        <w:t>медико-социальную</w:t>
      </w:r>
      <w:proofErr w:type="gramEnd"/>
      <w:r>
        <w:t xml:space="preserve"> экспертизу и заявлений граждан о проведении медико-социальной экспертизы.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По результатам рассмотрения поступивших документов бюро (главное бюро, Федеральное бюро) принимает решение о месте проведения </w:t>
      </w:r>
      <w:proofErr w:type="gramStart"/>
      <w:r>
        <w:t>медико-социальной</w:t>
      </w:r>
      <w:proofErr w:type="gramEnd"/>
      <w:r>
        <w:t xml:space="preserve"> экспертизы или о ее заочном </w:t>
      </w:r>
      <w:r>
        <w:lastRenderedPageBreak/>
        <w:t xml:space="preserve">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</w:t>
      </w:r>
      <w:r>
        <w:rPr>
          <w:rStyle w:val="s25"/>
        </w:rPr>
        <w:t xml:space="preserve">В случае подачи гражданином заявления о проведении </w:t>
      </w:r>
      <w:proofErr w:type="gramStart"/>
      <w:r>
        <w:rPr>
          <w:rStyle w:val="s25"/>
        </w:rPr>
        <w:t>медико-социальной</w:t>
      </w:r>
      <w:proofErr w:type="gramEnd"/>
      <w:r>
        <w:rPr>
          <w:rStyle w:val="s25"/>
        </w:rPr>
        <w:t xml:space="preserve">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с письменного согласия гражданина (его законного или уполномоченного представителя).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Форма согласия гражданина на проведение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труда и социальной защиты Российской Федерации.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в соответствии с заявленными целями.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Раздел IV дополнен пунктом 24.1 с 14 апреля 2018 г. - </w:t>
      </w:r>
      <w:hyperlink r:id="rId112" w:anchor="/document/71917518/entry/106" w:history="1">
        <w:r>
          <w:rPr>
            <w:rStyle w:val="a3"/>
          </w:rPr>
          <w:t>Постановление</w:t>
        </w:r>
      </w:hyperlink>
      <w:r>
        <w:t xml:space="preserve"> Правительства РФ от 29 марта 2018 г. N 339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24.1. 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а) установление группы инвалидности;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б) установление категории "ребенок-инвалид";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в) установление причин инвалидности;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г) установление времени наступления инвалидности;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д) установление срока инвалидности;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е) определение степени утраты профессиональной трудоспособности в процентах;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ж) 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к) 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л) 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н) 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о) иные цели, установленные законодательством Российской Федерации.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113" w:anchor="/document/71324572/entry/1000" w:history="1">
        <w:r>
          <w:rPr>
            <w:rStyle w:val="a3"/>
          </w:rPr>
          <w:t>протокол</w:t>
        </w:r>
      </w:hyperlink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14" w:anchor="/document/71470922/entry/1026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Правила дополнены пунктом 27.1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lastRenderedPageBreak/>
        <w:t xml:space="preserve">27.1. 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15" w:anchor="/document/71470922/entry/1027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28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16" w:anchor="/document/57410957/entry/1028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hyperlink r:id="rId117" w:anchor="/document/71053876/entry/2000" w:history="1">
        <w:r>
          <w:rPr>
            <w:rStyle w:val="a3"/>
          </w:rPr>
          <w:t>Порядок</w:t>
        </w:r>
      </w:hyperlink>
      <w:r>
        <w:t xml:space="preserve"> составления и </w:t>
      </w:r>
      <w:hyperlink r:id="rId118" w:anchor="/document/71053876/entry/1000" w:history="1">
        <w:r>
          <w:rPr>
            <w:rStyle w:val="a3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Абзац четвертый </w:t>
      </w:r>
      <w:hyperlink r:id="rId119" w:anchor="/document/71470922/entry/1028" w:history="1">
        <w:r>
          <w:rPr>
            <w:rStyle w:val="a3"/>
          </w:rPr>
          <w:t>утратил силу</w:t>
        </w:r>
      </w:hyperlink>
      <w:r>
        <w:t>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См. текст </w:t>
      </w:r>
      <w:hyperlink r:id="rId120" w:anchor="/document/57410957/entry/1029" w:history="1">
        <w:r>
          <w:rPr>
            <w:rStyle w:val="a3"/>
          </w:rPr>
          <w:t>абзаца четвертого пункта 29</w:t>
        </w:r>
      </w:hyperlink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Пункт 29.1 изменен с 1 октября 2019 г. - </w:t>
      </w:r>
      <w:hyperlink r:id="rId121" w:anchor="/document/72246086/entry/1082" w:history="1">
        <w:r>
          <w:rPr>
            <w:rStyle w:val="a3"/>
          </w:rPr>
          <w:t>Постановление</w:t>
        </w:r>
      </w:hyperlink>
      <w:r>
        <w:t xml:space="preserve"> Правительства России от 16 мая 2019 г. N 607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22" w:anchor="/document/77680638/entry/10291" w:history="1">
        <w:r>
          <w:rPr>
            <w:rStyle w:val="a3"/>
          </w:rPr>
          <w:t>См. будущую редакцию</w:t>
        </w:r>
      </w:hyperlink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Пункт 29.1 изменен с 21 мая 2019 г. - </w:t>
      </w:r>
      <w:hyperlink r:id="rId123" w:anchor="/document/72246086/entry/1008" w:history="1">
        <w:r>
          <w:rPr>
            <w:rStyle w:val="a3"/>
          </w:rPr>
          <w:t>Постановление</w:t>
        </w:r>
      </w:hyperlink>
      <w:r>
        <w:t xml:space="preserve"> Правительства России от 16 мая 2019 г. N 607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24" w:anchor="/document/77680637/entry/10291" w:history="1">
        <w:r>
          <w:rPr>
            <w:rStyle w:val="a3"/>
          </w:rPr>
          <w:t>См. предыдущую редакцию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29.1.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</w:t>
      </w:r>
      <w:hyperlink r:id="rId125" w:anchor="/document/12184522/entry/54" w:history="1">
        <w:r>
          <w:rPr>
            <w:rStyle w:val="a3"/>
          </w:rPr>
          <w:t>квалифицированной электронной подписью</w:t>
        </w:r>
      </w:hyperlink>
      <w:r>
        <w:t xml:space="preserve"> уполномоченного им должностного лица.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26" w:anchor="/document/71470922/entry/1030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30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27" w:anchor="/document/57410957/entry/1030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9"/>
        <w:spacing w:before="0" w:beforeAutospacing="0" w:after="0" w:afterAutospacing="0"/>
        <w:jc w:val="both"/>
      </w:pPr>
      <w:hyperlink r:id="rId128" w:anchor="/document/1784227/entry/0" w:history="1">
        <w:proofErr w:type="gramStart"/>
        <w:r>
          <w:rPr>
            <w:rStyle w:val="a3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129" w:anchor="/document/1784230/entry/0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</w:t>
      </w:r>
      <w:r>
        <w:lastRenderedPageBreak/>
        <w:t>Федеральное бюро в 3-дневный срок со дня проведения медико-социальной экспертизы в главном бюро.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30" w:anchor="/document/71159590/entry/14" w:history="1">
        <w:r>
          <w:rPr>
            <w:rStyle w:val="a3"/>
          </w:rPr>
          <w:t>Постановлением</w:t>
        </w:r>
      </w:hyperlink>
      <w:r>
        <w:t xml:space="preserve"> Правительства РФ от 6 августа 2015 г. N 805 в пункт 31 внесены изменения, </w:t>
      </w:r>
      <w:hyperlink r:id="rId131" w:anchor="/document/71159590/entry/2" w:history="1">
        <w:r>
          <w:rPr>
            <w:rStyle w:val="a3"/>
          </w:rPr>
          <w:t>вступающие в силу</w:t>
        </w:r>
      </w:hyperlink>
      <w:r>
        <w:t xml:space="preserve"> с 1 января 2015 г., а в части, касающейся медицинских организаций, - со дня </w:t>
      </w:r>
      <w:hyperlink r:id="rId132" w:anchor="/document/71159591/entry/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постановления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33" w:anchor="/document/57508565/entry/1031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9"/>
        <w:spacing w:before="0" w:beforeAutospacing="0" w:after="0" w:afterAutospacing="0"/>
        <w:jc w:val="both"/>
      </w:pPr>
      <w:hyperlink r:id="rId134" w:anchor="/document/1783368/entry/0" w:history="1">
        <w:r>
          <w:rPr>
            <w:rStyle w:val="a3"/>
          </w:rPr>
          <w:t>Решением</w:t>
        </w:r>
      </w:hyperlink>
      <w:r>
        <w:t xml:space="preserve"> Верховного Суда РФ от 26 февраля 2007 г., оставленным без изменения </w:t>
      </w:r>
      <w:hyperlink r:id="rId135" w:anchor="/document/1783188/entry/1111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36" w:anchor="/document/71470922/entry/1031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пункт 33 изложен в новой редакции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37" w:anchor="/document/57410957/entry/1033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Пункт 34 изменен с 14 апреля 2018 г. - </w:t>
      </w:r>
      <w:hyperlink r:id="rId138" w:anchor="/document/71917518/entry/107" w:history="1">
        <w:r>
          <w:rPr>
            <w:rStyle w:val="a3"/>
          </w:rPr>
          <w:t>Постановление</w:t>
        </w:r>
      </w:hyperlink>
      <w:r>
        <w:t xml:space="preserve"> Правительства РФ от 29 марта 2018 г. N 339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39" w:anchor="/document/77664305/entry/1034" w:history="1">
        <w:r>
          <w:rPr>
            <w:rStyle w:val="a3"/>
          </w:rPr>
          <w:t>См. предыдущую редакцию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ребенку-инвалиду по его </w:t>
      </w:r>
      <w:r>
        <w:lastRenderedPageBreak/>
        <w:t xml:space="preserve">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40" w:anchor="/document/71470922/entry/10033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35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41" w:anchor="/document/57410957/entry/1035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35. </w:t>
      </w:r>
      <w:proofErr w:type="gramStart"/>
      <w: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142" w:anchor="/document/12148567/entry/4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43" w:anchor="/document/71470922/entry/10034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36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44" w:anchor="/document/57410957/entry/1036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hyperlink r:id="rId145" w:anchor="/document/12182267/entry/3000" w:history="1">
        <w:r>
          <w:rPr>
            <w:rStyle w:val="a3"/>
          </w:rPr>
          <w:t>Порядок</w:t>
        </w:r>
      </w:hyperlink>
      <w:r>
        <w:t xml:space="preserve"> составления и </w:t>
      </w:r>
      <w:hyperlink r:id="rId146" w:anchor="/document/12182267/entry/1000" w:history="1">
        <w:r>
          <w:rPr>
            <w:rStyle w:val="a3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Раздел IV дополнен пунктом 37.1 с 21 мая 2019 г. - </w:t>
      </w:r>
      <w:hyperlink r:id="rId147" w:anchor="/document/72246086/entry/1009" w:history="1">
        <w:r>
          <w:rPr>
            <w:rStyle w:val="a3"/>
          </w:rPr>
          <w:t>Постановление</w:t>
        </w:r>
      </w:hyperlink>
      <w:r>
        <w:t xml:space="preserve"> Правительства России от 16 мая 2019 г. N 607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37.1. </w:t>
      </w:r>
      <w:proofErr w:type="gramStart"/>
      <w:r>
        <w:t xml:space="preserve">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</w:t>
      </w:r>
      <w:r>
        <w:lastRenderedPageBreak/>
        <w:t xml:space="preserve">Российской Федерации, и направляются бюро в медицинскую организацию в виде электронного документа, подписанного усиленной </w:t>
      </w:r>
      <w:hyperlink r:id="rId148" w:anchor="/document/12184522/entry/54" w:history="1">
        <w:r>
          <w:rPr>
            <w:rStyle w:val="a3"/>
          </w:rPr>
          <w:t>квалифицированной электронной подписью</w:t>
        </w:r>
      </w:hyperlink>
      <w:r>
        <w:t>, с использованием указанной системы, единой государственной информационной системы в сфере здравоохранения, государственных</w:t>
      </w:r>
      <w:proofErr w:type="gramEnd"/>
      <w:r>
        <w:t xml:space="preserve">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</w:t>
      </w:r>
      <w:hyperlink r:id="rId149" w:anchor="/document/12145177/entry/10193" w:history="1">
        <w:r>
          <w:rPr>
            <w:rStyle w:val="a3"/>
          </w:rPr>
          <w:t>пункте 19.3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V. Порядок переосвидетельствования инвалида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38. Переосвидетельствование инвалида проводится в порядке, предусмотренном разделами I - IV настоящих Правил.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50" w:anchor="/document/71470922/entry/10035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39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51" w:anchor="/document/57410957/entry/1039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9"/>
        <w:spacing w:before="0" w:beforeAutospacing="0" w:after="0" w:afterAutospacing="0"/>
        <w:jc w:val="both"/>
      </w:pPr>
      <w:hyperlink r:id="rId152" w:anchor="/document/12178866/entry/1111" w:history="1">
        <w:proofErr w:type="gramStart"/>
        <w:r>
          <w:rPr>
            <w:rStyle w:val="a3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153" w:anchor="/document/58201340/entry/1111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54" w:anchor="/document/71470922/entry/1036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41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55" w:anchor="/document/57410957/entry/1041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9"/>
        <w:spacing w:before="0" w:beforeAutospacing="0" w:after="0" w:afterAutospacing="0"/>
        <w:jc w:val="both"/>
      </w:pPr>
      <w:hyperlink r:id="rId156" w:anchor="/document/12178866/entry/1111" w:history="1">
        <w:proofErr w:type="gramStart"/>
        <w:r>
          <w:rPr>
            <w:rStyle w:val="a3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157" w:anchor="/document/58201340/entry/1111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VI. Порядок обжалования решений бюро, главного бюро, Федерального бюро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Пункт 42 изменен с 1 октября 2019 г. - </w:t>
      </w:r>
      <w:hyperlink r:id="rId158" w:anchor="/document/72246086/entry/1010" w:history="1">
        <w:r>
          <w:rPr>
            <w:rStyle w:val="a3"/>
          </w:rPr>
          <w:t>Постановление</w:t>
        </w:r>
      </w:hyperlink>
      <w:r>
        <w:t xml:space="preserve"> Правительства России от 16 мая 2019 г. N 607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59" w:anchor="/document/77680638/entry/1042" w:history="1">
        <w:r>
          <w:rPr>
            <w:rStyle w:val="a3"/>
          </w:rPr>
          <w:t>См. будущую редакцию</w:t>
        </w:r>
      </w:hyperlink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60" w:anchor="/document/71470922/entry/1037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42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61" w:anchor="/document/57410957/entry/1042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9"/>
        <w:spacing w:before="0" w:beforeAutospacing="0" w:after="0" w:afterAutospacing="0"/>
        <w:jc w:val="both"/>
      </w:pPr>
      <w:hyperlink r:id="rId162" w:anchor="/document/1784227/entry/0" w:history="1">
        <w:proofErr w:type="gramStart"/>
        <w:r>
          <w:rPr>
            <w:rStyle w:val="a3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163" w:anchor="/document/1784230/entry/0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lastRenderedPageBreak/>
        <w:t xml:space="preserve"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64" w:anchor="/document/71470922/entry/1038" w:history="1">
        <w:r>
          <w:rPr>
            <w:rStyle w:val="a3"/>
          </w:rPr>
          <w:t>Постановлением</w:t>
        </w:r>
      </w:hyperlink>
      <w:r>
        <w:t xml:space="preserve"> Правительства РФ от 10 августа 2016 г. N 772 в пункт 45 внесены изменения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65" w:anchor="/document/57410957/entry/1045" w:history="1">
        <w:r>
          <w:rPr>
            <w:rStyle w:val="a3"/>
          </w:rPr>
          <w:t>См. текст пункта в предыдущей редакции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Пункт 46 изменен с 6 февраля 2018 г. - </w:t>
      </w:r>
      <w:hyperlink r:id="rId166" w:anchor="/document/71866762/entry/103" w:history="1">
        <w:r>
          <w:rPr>
            <w:rStyle w:val="a3"/>
          </w:rPr>
          <w:t>Постановление</w:t>
        </w:r>
      </w:hyperlink>
      <w:r>
        <w:t xml:space="preserve"> Правительства РФ от 24 января 2018 г. N 60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67" w:anchor="/document/57430634/entry/1046" w:history="1">
        <w:r>
          <w:rPr>
            <w:rStyle w:val="a3"/>
          </w:rPr>
          <w:t>См. предыдущую редакцию</w:t>
        </w:r>
      </w:hyperlink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r>
        <w:t xml:space="preserve">Приложение изменено с 14 апреля 2018 г. - </w:t>
      </w:r>
      <w:hyperlink r:id="rId168" w:anchor="/document/71917518/entry/108" w:history="1">
        <w:r>
          <w:rPr>
            <w:rStyle w:val="a3"/>
          </w:rPr>
          <w:t>Постановление</w:t>
        </w:r>
      </w:hyperlink>
      <w:r>
        <w:t xml:space="preserve"> Правительства РФ от 29 марта 2018 г. N 339</w:t>
      </w:r>
    </w:p>
    <w:p w:rsidR="005F1A1F" w:rsidRDefault="005F1A1F" w:rsidP="005F1A1F">
      <w:pPr>
        <w:pStyle w:val="s22"/>
        <w:spacing w:before="0" w:beforeAutospacing="0" w:after="0" w:afterAutospacing="0"/>
        <w:jc w:val="both"/>
      </w:pPr>
      <w:hyperlink r:id="rId169" w:anchor="/document/77664305/entry/10000" w:history="1">
        <w:r>
          <w:rPr>
            <w:rStyle w:val="a3"/>
          </w:rPr>
          <w:t>См. предыдущую редакцию</w:t>
        </w:r>
      </w:hyperlink>
    </w:p>
    <w:p w:rsidR="005F1A1F" w:rsidRDefault="005F1A1F" w:rsidP="005F1A1F">
      <w:pPr>
        <w:pStyle w:val="indent1"/>
        <w:spacing w:before="0" w:beforeAutospacing="0" w:after="0" w:afterAutospacing="0"/>
        <w:jc w:val="both"/>
      </w:pPr>
      <w:r>
        <w:rPr>
          <w:rStyle w:val="s10"/>
        </w:rPr>
        <w:t>ПРИЛОЖЕНИЕ</w:t>
      </w:r>
      <w:r>
        <w:br/>
      </w:r>
      <w:r>
        <w:rPr>
          <w:rStyle w:val="s10"/>
        </w:rPr>
        <w:t xml:space="preserve">к </w:t>
      </w:r>
      <w:hyperlink r:id="rId170" w:anchor="/document/12145177/entry/1000" w:history="1">
        <w:r>
          <w:rPr>
            <w:rStyle w:val="a3"/>
          </w:rPr>
          <w:t>Правилам</w:t>
        </w:r>
      </w:hyperlink>
      <w:r>
        <w:rPr>
          <w:rStyle w:val="s10"/>
        </w:rPr>
        <w:t xml:space="preserve"> признания лица инвалидом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Перечень</w:t>
      </w:r>
      <w: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5F1A1F" w:rsidRDefault="005F1A1F" w:rsidP="005F1A1F">
      <w:pPr>
        <w:pStyle w:val="4"/>
        <w:spacing w:before="0" w:beforeAutospacing="0" w:after="0" w:afterAutospacing="0"/>
        <w:jc w:val="both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 устанавливается гражданам не позднее 2 лет после первичного признания инвалидом (установления категории "ребенок-инвалид")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1. 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3. Отсутствие гортани после ее оперативного удаления.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lastRenderedPageBreak/>
        <w:t xml:space="preserve">5. 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6. 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7. 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8. 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9. 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10. 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11. 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II. Показания и условия для установления категории "ребенок-инвалид" сроком на 5 лет и до достижения возраста 14 лет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16. Категория "ребенок-инвалид" сроком на 5 лет устанавливается: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а) 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б) 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в) 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г) 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д) 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lastRenderedPageBreak/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ж) при первичном освидетельствовании детей с ранним детским аутизмом и иными расстройствами аутистического спектра.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17. Категория "ребенок-инвалид" до достижения возраста 14 лет устанавливается: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а) 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б) 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 лет) при первичном освидетельствовании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18. Хроническая болезнь почек 5 стадии при наличии противопоказаний к трансплантации почки.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19. 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20. 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21. 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22. 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26. 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27. 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lastRenderedPageBreak/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28. 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30. 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хирургического лечения.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31. 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36. 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37. ВИЧ-инфекция, стадия вторичных заболеваний (стадия 4Б, 4В), терминальная 5 стадия.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38. 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40. Полная </w:t>
      </w:r>
      <w:proofErr w:type="spellStart"/>
      <w:r>
        <w:t>слепоглухота</w:t>
      </w:r>
      <w:proofErr w:type="spellEnd"/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41. 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42. 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43. Парная ампутация области тазобедренного сустава.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44. 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5F1A1F" w:rsidRDefault="005F1A1F" w:rsidP="005F1A1F">
      <w:pPr>
        <w:pStyle w:val="s3"/>
        <w:spacing w:before="0" w:beforeAutospacing="0" w:after="0" w:afterAutospacing="0"/>
        <w:jc w:val="both"/>
      </w:pPr>
      <w: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45. 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46. 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lastRenderedPageBreak/>
        <w:t>47. 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48. 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52. 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>56. 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57. 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5F1A1F" w:rsidRDefault="005F1A1F" w:rsidP="005F1A1F">
      <w:pPr>
        <w:pStyle w:val="s1"/>
        <w:spacing w:before="0" w:beforeAutospacing="0" w:after="0" w:afterAutospacing="0"/>
        <w:jc w:val="both"/>
      </w:pPr>
      <w:r>
        <w:t xml:space="preserve">58. 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E73BB0" w:rsidRPr="005F1A1F" w:rsidRDefault="00E73BB0" w:rsidP="005F1A1F">
      <w:pPr>
        <w:spacing w:after="0"/>
        <w:jc w:val="both"/>
      </w:pPr>
    </w:p>
    <w:sectPr w:rsidR="00E73BB0" w:rsidRPr="005F1A1F" w:rsidSect="005F1A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7"/>
    <w:rsid w:val="005F1A1F"/>
    <w:rsid w:val="00647F07"/>
    <w:rsid w:val="00E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1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A1F"/>
    <w:rPr>
      <w:color w:val="0000FF"/>
      <w:u w:val="single"/>
    </w:rPr>
  </w:style>
  <w:style w:type="paragraph" w:customStyle="1" w:styleId="s22">
    <w:name w:val="s_22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5F1A1F"/>
  </w:style>
  <w:style w:type="paragraph" w:customStyle="1" w:styleId="s9">
    <w:name w:val="s_9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1A1F"/>
  </w:style>
  <w:style w:type="paragraph" w:customStyle="1" w:styleId="s16">
    <w:name w:val="s_16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1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A1F"/>
    <w:rPr>
      <w:color w:val="0000FF"/>
      <w:u w:val="single"/>
    </w:rPr>
  </w:style>
  <w:style w:type="paragraph" w:customStyle="1" w:styleId="s22">
    <w:name w:val="s_22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5F1A1F"/>
  </w:style>
  <w:style w:type="paragraph" w:customStyle="1" w:styleId="s9">
    <w:name w:val="s_9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1A1F"/>
  </w:style>
  <w:style w:type="paragraph" w:customStyle="1" w:styleId="s16">
    <w:name w:val="s_16"/>
    <w:basedOn w:val="a"/>
    <w:rsid w:val="005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4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2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1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8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9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0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64" Type="http://schemas.openxmlformats.org/officeDocument/2006/relationships/hyperlink" Target="http://ivo.garant.ru/" TargetMode="External"/><Relationship Id="rId16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16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11085</Words>
  <Characters>63191</Characters>
  <Application>Microsoft Office Word</Application>
  <DocSecurity>0</DocSecurity>
  <Lines>526</Lines>
  <Paragraphs>148</Paragraphs>
  <ScaleCrop>false</ScaleCrop>
  <Company/>
  <LinksUpToDate>false</LinksUpToDate>
  <CharactersWithSpaces>74128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2019-05-24T18:05:00Z</dcterms:created>
  <dcterms:modified xsi:type="dcterms:W3CDTF">2019-05-24T18:17:00Z</dcterms:modified>
</cp:coreProperties>
</file>